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pStyle w:val="Heading2"/>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Note:</w:t>
      </w:r>
      <w:r w:rsidDel="00000000" w:rsidR="00000000" w:rsidRPr="00000000">
        <w:rPr>
          <w:rFonts w:ascii="Arial" w:cs="Arial" w:eastAsia="Arial" w:hAnsi="Arial"/>
          <w:sz w:val="24"/>
          <w:szCs w:val="24"/>
          <w:rtl w:val="0"/>
        </w:rPr>
        <w:t xml:space="preserve">  Definitions of “Creditworthy Entity” and “Qualifying Issuer” to be defined by the Buyer based on its requirements.]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6">
      <w:pPr>
        <w:pStyle w:val="Heading2"/>
        <w:keepNext w:val="1"/>
        <w:numPr>
          <w:ilvl w:val="1"/>
          <w:numId w:val="4"/>
        </w:numPr>
        <w:ind w:left="709" w:hanging="720"/>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Event”</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at the applicable time, with respect to any Performance Security, the Performance Security Provider:</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if such Performance Security is in the form of a Parent Guarantee, the Guarantor ceases to be a Creditworthy Entity; or</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if such Performance Security is in the form of a Letter of Credit, the issuer of such Letter of Credit ceases to be a Qualifying Issuer; </w:t>
            </w:r>
          </w:p>
        </w:tc>
      </w:tr>
      <w:tr>
        <w:trPr>
          <w:cantSplit w:val="0"/>
          <w:trHeight w:val="20"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any Person, the senior unsecured and credit-unenhanced long term debt rating of such Person or, if such Person does not have a senior unsecured and credit-unenhanced long term debt rating, the issuer rating of such Person;</w:t>
            </w:r>
          </w:p>
        </w:tc>
      </w:tr>
      <w:tr>
        <w:trPr>
          <w:cantSplit w:val="0"/>
          <w:trHeight w:val="20"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“Creditworthy Entity”</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a Person which has and maintains a Credit Rating of </w:t>
            </w:r>
            <w:r w:rsidDel="00000000" w:rsidR="00000000" w:rsidRPr="00000000">
              <w:rPr>
                <w:rFonts w:ascii="Arial" w:cs="Arial" w:eastAsia="Arial" w:hAnsi="Arial"/>
                <w:sz w:val="24"/>
                <w:szCs w:val="24"/>
                <w:rtl w:val="0"/>
              </w:rPr>
              <w:t xml:space="preserve">forty-five</w:t>
            </w:r>
            <w:r w:rsidDel="00000000" w:rsidR="00000000" w:rsidRPr="00000000">
              <w:rPr>
                <w:rFonts w:ascii="Arial" w:cs="Arial" w:eastAsia="Arial" w:hAnsi="Arial"/>
                <w:color w:val="000000"/>
                <w:sz w:val="24"/>
                <w:szCs w:val="24"/>
                <w:rtl w:val="0"/>
              </w:rPr>
              <w:t xml:space="preserve"> (45) or higher from D&amp;B’s Failure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Score;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2 to this Schedule; </w:t>
            </w:r>
          </w:p>
        </w:tc>
      </w:tr>
      <w:tr>
        <w:trPr>
          <w:cantSplit w:val="0"/>
          <w:trHeight w:val="20"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w:t>
            </w:r>
          </w:p>
        </w:tc>
      </w:tr>
      <w:tr>
        <w:trPr>
          <w:cantSplit w:val="0"/>
          <w:trHeight w:val="20"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Credit”</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standby letter of credit from a Qualifying Issuer, in favour of a Buyer in the form set out in Annex 3 to this Schedule; </w:t>
            </w:r>
          </w:p>
        </w:tc>
      </w:tr>
      <w:tr>
        <w:trPr>
          <w:cantSplit w:val="0"/>
          <w:trHeight w:val="20" w:hRule="atLeast"/>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1 to this Schedule;</w:t>
            </w:r>
          </w:p>
        </w:tc>
      </w:tr>
      <w:tr>
        <w:trPr>
          <w:cantSplit w:val="0"/>
          <w:trHeight w:val="20"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Security”</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Guarantee, a Letter of Credit or such other form of performance security permitted under the terms of Call-Off Schedule 20 (</w:t>
            </w:r>
            <w:r w:rsidDel="00000000" w:rsidR="00000000" w:rsidRPr="00000000">
              <w:rPr>
                <w:rFonts w:ascii="Arial" w:cs="Arial" w:eastAsia="Arial" w:hAnsi="Arial"/>
                <w:i w:val="1"/>
                <w:color w:val="000000"/>
                <w:sz w:val="24"/>
                <w:szCs w:val="24"/>
                <w:rtl w:val="0"/>
              </w:rPr>
              <w:t xml:space="preserve">Call-Off Specification</w:t>
            </w:r>
            <w:r w:rsidDel="00000000" w:rsidR="00000000" w:rsidRPr="00000000">
              <w:rPr>
                <w:rFonts w:ascii="Arial" w:cs="Arial" w:eastAsia="Arial" w:hAnsi="Arial"/>
                <w:color w:val="000000"/>
                <w:sz w:val="24"/>
                <w:szCs w:val="24"/>
                <w:rtl w:val="0"/>
              </w:rPr>
              <w:t xml:space="preserve">);</w:t>
            </w:r>
          </w:p>
        </w:tc>
      </w:tr>
      <w:tr>
        <w:trPr>
          <w:cantSplit w:val="0"/>
          <w:trHeight w:val="20" w:hRule="atLeast"/>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Security Provider”</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Guarantor, issuer of a Letter of Credit, or issuer of such other form of Performance Security permitted under the terms of Call-Off Schedule 20 (</w:t>
            </w:r>
            <w:r w:rsidDel="00000000" w:rsidR="00000000" w:rsidRPr="00000000">
              <w:rPr>
                <w:rFonts w:ascii="Arial" w:cs="Arial" w:eastAsia="Arial" w:hAnsi="Arial"/>
                <w:i w:val="1"/>
                <w:color w:val="000000"/>
                <w:sz w:val="24"/>
                <w:szCs w:val="24"/>
                <w:rtl w:val="0"/>
              </w:rPr>
              <w:t xml:space="preserve">Call-Off Specification</w:t>
            </w:r>
            <w:r w:rsidDel="00000000" w:rsidR="00000000" w:rsidRPr="00000000">
              <w:rPr>
                <w:rFonts w:ascii="Arial" w:cs="Arial" w:eastAsia="Arial" w:hAnsi="Arial"/>
                <w:color w:val="000000"/>
                <w:sz w:val="24"/>
                <w:szCs w:val="24"/>
                <w:rtl w:val="0"/>
              </w:rPr>
              <w:t xml:space="preserve">);</w:t>
            </w:r>
          </w:p>
        </w:tc>
      </w:tr>
      <w:tr>
        <w:trPr>
          <w:cantSplit w:val="0"/>
          <w:trHeight w:val="20" w:hRule="atLeast"/>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Security Release Date”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falling six months after the end of the Term; and</w:t>
            </w:r>
          </w:p>
        </w:tc>
      </w:tr>
      <w:tr>
        <w:trPr>
          <w:cantSplit w:val="0"/>
          <w:trHeight w:val="20" w:hRule="atLeast"/>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“Qualifying Issuer”</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financial institution regulated in the United Kingdom, the European Union, Japan or the United States of America having at all times having a Credit Rating of at least eighty (80) or higher from D&amp;B’s Failure Score.</w:t>
            </w:r>
          </w:p>
        </w:tc>
      </w:tr>
      <w:tr>
        <w:trPr>
          <w:cantSplit w:val="0"/>
          <w:trHeight w:val="20" w:hRule="atLeast"/>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2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Performance Security</w:t>
      </w:r>
    </w:p>
    <w:p w:rsidR="00000000" w:rsidDel="00000000" w:rsidP="00000000" w:rsidRDefault="00000000" w:rsidRPr="00000000" w14:paraId="00000022">
      <w:pPr>
        <w:pStyle w:val="Heading2"/>
        <w:keepNext w:val="1"/>
        <w:numPr>
          <w:ilvl w:val="1"/>
          <w:numId w:val="4"/>
        </w:numPr>
        <w:ind w:left="709" w:hanging="720"/>
        <w:rPr>
          <w:rFonts w:ascii="Arial" w:cs="Arial" w:eastAsia="Arial" w:hAnsi="Arial"/>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Performance Security for each Call-Off Contract:</w:t>
      </w:r>
    </w:p>
    <w:p w:rsidR="00000000" w:rsidDel="00000000" w:rsidP="00000000" w:rsidRDefault="00000000" w:rsidRPr="00000000" w14:paraId="00000023">
      <w:pPr>
        <w:pStyle w:val="Heading2"/>
        <w:keepNext w:val="1"/>
        <w:numPr>
          <w:ilvl w:val="2"/>
          <w:numId w:val="4"/>
        </w:numPr>
        <w:ind w:left="1800" w:hanging="1080"/>
        <w:rPr>
          <w:rFonts w:ascii="Arial" w:cs="Arial" w:eastAsia="Arial" w:hAnsi="Arial"/>
          <w:sz w:val="24"/>
          <w:szCs w:val="24"/>
        </w:rPr>
      </w:pPr>
      <w:bookmarkStart w:colFirst="0" w:colLast="0" w:name="_ql44npri4lr"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24">
      <w:pPr>
        <w:pStyle w:val="Heading3"/>
        <w:numPr>
          <w:ilvl w:val="3"/>
          <w:numId w:val="4"/>
        </w:numPr>
        <w:ind w:left="2694" w:hanging="864"/>
        <w:rPr>
          <w:rFonts w:ascii="Arial" w:cs="Arial" w:eastAsia="Arial" w:hAnsi="Arial"/>
          <w:sz w:val="24"/>
          <w:szCs w:val="24"/>
        </w:rPr>
      </w:pPr>
      <w:bookmarkStart w:colFirst="0" w:colLast="0" w:name="_6a6u5iextngy"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25">
      <w:pPr>
        <w:pStyle w:val="Heading3"/>
        <w:numPr>
          <w:ilvl w:val="3"/>
          <w:numId w:val="4"/>
        </w:numPr>
        <w:ind w:left="2694" w:hanging="864"/>
        <w:rPr>
          <w:rFonts w:ascii="Arial" w:cs="Arial" w:eastAsia="Arial" w:hAnsi="Arial"/>
          <w:sz w:val="24"/>
          <w:szCs w:val="24"/>
        </w:rPr>
      </w:pPr>
      <w:bookmarkStart w:colFirst="0" w:colLast="0" w:name="_gu6xrz55nihv"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26">
      <w:pPr>
        <w:pStyle w:val="Heading2"/>
        <w:numPr>
          <w:ilvl w:val="2"/>
          <w:numId w:val="4"/>
        </w:numPr>
        <w:ind w:left="1797" w:hanging="1077"/>
        <w:rPr>
          <w:rFonts w:ascii="Arial" w:cs="Arial" w:eastAsia="Arial" w:hAnsi="Arial"/>
          <w:sz w:val="24"/>
          <w:szCs w:val="24"/>
        </w:rPr>
      </w:pPr>
      <w:bookmarkStart w:colFirst="0" w:colLast="0" w:name="_1p1fj48v6dno" w:id="3"/>
      <w:bookmarkEnd w:id="3"/>
      <w:r w:rsidDel="00000000" w:rsidR="00000000" w:rsidRPr="00000000">
        <w:rPr>
          <w:rFonts w:ascii="Arial" w:cs="Arial" w:eastAsia="Arial" w:hAnsi="Arial"/>
          <w:sz w:val="24"/>
          <w:szCs w:val="24"/>
          <w:rtl w:val="0"/>
        </w:rPr>
        <w:t xml:space="preserve">on demand from a Buyer, the Supplier must procure Performance Security in accordance with Paragraph 2.4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below.</w:t>
      </w:r>
    </w:p>
    <w:p w:rsidR="00000000" w:rsidDel="00000000" w:rsidP="00000000" w:rsidRDefault="00000000" w:rsidRPr="00000000" w14:paraId="00000027">
      <w:pPr>
        <w:pStyle w:val="Heading2"/>
        <w:keepNext w:val="1"/>
        <w:numPr>
          <w:ilvl w:val="1"/>
          <w:numId w:val="4"/>
        </w:numPr>
        <w:ind w:left="709" w:hanging="720"/>
        <w:rPr>
          <w:rFonts w:ascii="Arial" w:cs="Arial" w:eastAsia="Arial" w:hAnsi="Arial"/>
        </w:rPr>
      </w:pPr>
      <w:r w:rsidDel="00000000" w:rsidR="00000000" w:rsidRPr="00000000">
        <w:rPr>
          <w:rFonts w:ascii="Arial" w:cs="Arial" w:eastAsia="Arial" w:hAnsi="Arial"/>
          <w:sz w:val="24"/>
          <w:szCs w:val="24"/>
          <w:rtl w:val="0"/>
        </w:rPr>
        <w:t xml:space="preserve">If the Supplier fails to deliver any of the documents required by Paragraph 2.1.1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above within 30 days of request then:</w:t>
      </w:r>
    </w:p>
    <w:p w:rsidR="00000000" w:rsidDel="00000000" w:rsidP="00000000" w:rsidRDefault="00000000" w:rsidRPr="00000000" w14:paraId="00000028">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29">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2A">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w:t>
      </w:r>
      <w:r w:rsidDel="00000000" w:rsidR="00000000" w:rsidRPr="00000000">
        <w:rPr>
          <w:rFonts w:ascii="Arial" w:cs="Arial" w:eastAsia="Arial" w:hAnsi="Arial"/>
          <w:i w:val="1"/>
          <w:sz w:val="24"/>
          <w:szCs w:val="24"/>
          <w:rtl w:val="0"/>
        </w:rPr>
        <w:t xml:space="preserve">When CCS or the buyer can end a contract</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B">
      <w:pPr>
        <w:pStyle w:val="Heading2"/>
        <w:keepNext w:val="1"/>
        <w:numPr>
          <w:ilvl w:val="1"/>
          <w:numId w:val="4"/>
        </w:numPr>
        <w:ind w:left="709" w:hanging="720"/>
        <w:rPr>
          <w:rFonts w:ascii="Arial" w:cs="Arial" w:eastAsia="Arial" w:hAnsi="Arial"/>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CCS may terminate this Framework Contract as a material Default of the Contract for the purposes of Clause 10.4.1(d) (</w:t>
      </w:r>
      <w:r w:rsidDel="00000000" w:rsidR="00000000" w:rsidRPr="00000000">
        <w:rPr>
          <w:rFonts w:ascii="Arial" w:cs="Arial" w:eastAsia="Arial" w:hAnsi="Arial"/>
          <w:i w:val="1"/>
          <w:sz w:val="24"/>
          <w:szCs w:val="24"/>
          <w:rtl w:val="0"/>
        </w:rPr>
        <w:t xml:space="preserve">When CCS or the buyer can end a contract</w:t>
      </w:r>
      <w:r w:rsidDel="00000000" w:rsidR="00000000" w:rsidRPr="00000000">
        <w:rPr>
          <w:rFonts w:ascii="Arial" w:cs="Arial" w:eastAsia="Arial" w:hAnsi="Arial"/>
          <w:sz w:val="24"/>
          <w:szCs w:val="24"/>
          <w:rtl w:val="0"/>
        </w:rPr>
        <w:t xml:space="preserve">) of the Core Terms where:</w:t>
      </w:r>
    </w:p>
    <w:p w:rsidR="00000000" w:rsidDel="00000000" w:rsidP="00000000" w:rsidRDefault="00000000" w:rsidRPr="00000000" w14:paraId="0000002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2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2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above; or</w:t>
      </w:r>
    </w:p>
    <w:p w:rsidR="00000000" w:rsidDel="00000000" w:rsidP="00000000" w:rsidRDefault="00000000" w:rsidRPr="00000000" w14:paraId="0000002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30">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31">
      <w:pPr>
        <w:pStyle w:val="Heading2"/>
        <w:keepNext w:val="1"/>
        <w:numPr>
          <w:ilvl w:val="1"/>
          <w:numId w:val="4"/>
        </w:numPr>
        <w:ind w:left="709" w:hanging="720"/>
        <w:rPr>
          <w:rFonts w:ascii="Arial" w:cs="Arial" w:eastAsia="Arial" w:hAnsi="Arial"/>
        </w:rPr>
      </w:pPr>
      <w:bookmarkStart w:colFirst="0" w:colLast="0" w:name="_8lur4aymipg3" w:id="4"/>
      <w:bookmarkEnd w:id="4"/>
      <w:r w:rsidDel="00000000" w:rsidR="00000000" w:rsidRPr="00000000">
        <w:rPr>
          <w:rFonts w:ascii="Arial" w:cs="Arial" w:eastAsia="Arial" w:hAnsi="Arial"/>
          <w:sz w:val="24"/>
          <w:szCs w:val="24"/>
          <w:rtl w:val="0"/>
        </w:rPr>
        <w:t xml:space="preserve">Where a Buyer has notified the Supplier that the award of the Call-Off Contract by each Buyer shall be conditional upon receipt of a valid Performance Security,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3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or Letter of Credit or other form of Performance Security permissible under Framework Schedule 1 (</w:t>
      </w:r>
      <w:r w:rsidDel="00000000" w:rsidR="00000000" w:rsidRPr="00000000">
        <w:rPr>
          <w:rFonts w:ascii="Arial" w:cs="Arial" w:eastAsia="Arial" w:hAnsi="Arial"/>
          <w:i w:val="1"/>
          <w:sz w:val="24"/>
          <w:szCs w:val="24"/>
          <w:rtl w:val="0"/>
        </w:rPr>
        <w:t xml:space="preserve">Specification</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3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 case of provision of a Guarantee, a certified copy extract of the board minutes and/or resolution of the Guarantor approving the execution of the Guarantee.</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1429" w:right="0" w:hanging="720"/>
        <w:jc w:val="both"/>
        <w:rPr>
          <w:rFonts w:ascii="Arial" w:cs="Arial" w:eastAsia="Arial" w:hAnsi="Arial"/>
          <w:i w:val="0"/>
          <w:smallCaps w:val="0"/>
          <w:strike w:val="0"/>
          <w:color w:val="000000"/>
          <w:u w:val="none"/>
          <w:shd w:fill="auto" w:val="clear"/>
          <w:vertAlign w:val="baseline"/>
        </w:rPr>
      </w:pPr>
      <w:bookmarkStart w:colFirst="0" w:colLast="0" w:name="_lrmewsgh9mr8"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maintain the Performance Security until, subject to Paragraph ‎2.6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Obligation to Provide Performance 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Performance Security Release Date, and in the case of a Letter of Credit, the Buyer shall return such Letter of Credit to the issuer of such Letter of Credit.</w:t>
      </w:r>
    </w:p>
    <w:p w:rsidR="00000000" w:rsidDel="00000000" w:rsidP="00000000" w:rsidRDefault="00000000" w:rsidRPr="00000000" w14:paraId="00000035">
      <w:pPr>
        <w:pStyle w:val="Heading3"/>
        <w:numPr>
          <w:ilvl w:val="1"/>
          <w:numId w:val="4"/>
        </w:numPr>
        <w:ind w:left="1429" w:hanging="720"/>
        <w:rPr>
          <w:rFonts w:ascii="Arial" w:cs="Arial" w:eastAsia="Arial" w:hAnsi="Arial"/>
        </w:rPr>
      </w:pPr>
      <w:bookmarkStart w:colFirst="0" w:colLast="0" w:name="_1fjxlkcyvpht" w:id="6"/>
      <w:bookmarkEnd w:id="6"/>
      <w:r w:rsidDel="00000000" w:rsidR="00000000" w:rsidRPr="00000000">
        <w:rPr>
          <w:rFonts w:ascii="Arial" w:cs="Arial" w:eastAsia="Arial" w:hAnsi="Arial"/>
          <w:sz w:val="24"/>
          <w:szCs w:val="24"/>
          <w:rtl w:val="0"/>
        </w:rPr>
        <w:t xml:space="preserve">If, upon the Performance Security Release Date, there are outstanding any claims that were validly made prior to such date against the Performance Security that would otherwise be released, then, on the Performance Security Release Date:</w:t>
      </w:r>
    </w:p>
    <w:p w:rsidR="00000000" w:rsidDel="00000000" w:rsidP="00000000" w:rsidRDefault="00000000" w:rsidRPr="00000000" w14:paraId="0000003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amount of the Performance Security (in the case of Performance Security with a maximum amount) shall be deemed reduced to the amount of such outstanding claims; and</w:t>
      </w:r>
    </w:p>
    <w:p w:rsidR="00000000" w:rsidDel="00000000" w:rsidP="00000000" w:rsidRDefault="00000000" w:rsidRPr="00000000" w14:paraId="0000003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Performance Security Release Date shall be extended until the final resolution and (if applicable) full payment of such outstanding claims.</w:t>
      </w:r>
    </w:p>
    <w:p w:rsidR="00000000" w:rsidDel="00000000" w:rsidP="00000000" w:rsidRDefault="00000000" w:rsidRPr="00000000" w14:paraId="00000038">
      <w:pPr>
        <w:pStyle w:val="Heading3"/>
        <w:numPr>
          <w:ilvl w:val="0"/>
          <w:numId w:val="4"/>
        </w:numPr>
        <w:ind w:left="720" w:hanging="720"/>
        <w:rPr>
          <w:b w:val="1"/>
          <w:sz w:val="28"/>
          <w:szCs w:val="28"/>
        </w:rPr>
      </w:pPr>
      <w:bookmarkStart w:colFirst="0" w:colLast="0" w:name="_irh2u4iz90cd" w:id="7"/>
      <w:bookmarkEnd w:id="7"/>
      <w:r w:rsidDel="00000000" w:rsidR="00000000" w:rsidRPr="00000000">
        <w:rPr>
          <w:b w:val="1"/>
          <w:sz w:val="24"/>
          <w:szCs w:val="24"/>
          <w:rtl w:val="0"/>
        </w:rPr>
        <w:t xml:space="preserve">Replacement of Performance Security</w:t>
      </w:r>
      <w:r w:rsidDel="00000000" w:rsidR="00000000" w:rsidRPr="00000000">
        <w:rPr>
          <w:rtl w:val="0"/>
        </w:rPr>
      </w:r>
    </w:p>
    <w:p w:rsidR="00000000" w:rsidDel="00000000" w:rsidP="00000000" w:rsidRDefault="00000000" w:rsidRPr="00000000" w14:paraId="00000039">
      <w:pPr>
        <w:pStyle w:val="Heading3"/>
        <w:numPr>
          <w:ilvl w:val="1"/>
          <w:numId w:val="4"/>
        </w:numPr>
        <w:ind w:left="1429" w:hanging="720"/>
        <w:rPr/>
      </w:pPr>
      <w:bookmarkStart w:colFirst="0" w:colLast="0" w:name="_50snpou1ieoo" w:id="8"/>
      <w:bookmarkEnd w:id="8"/>
      <w:r w:rsidDel="00000000" w:rsidR="00000000" w:rsidRPr="00000000">
        <w:rPr>
          <w:sz w:val="24"/>
          <w:szCs w:val="24"/>
          <w:rtl w:val="0"/>
        </w:rPr>
        <w:t xml:space="preserve">If, at any time during which Performance Security is required to remain in place, a Credit Event occurs with respect to such Performance Security, then a Default shall not occur under Paragraph ‎4.5 (</w:t>
      </w:r>
      <w:r w:rsidDel="00000000" w:rsidR="00000000" w:rsidRPr="00000000">
        <w:rPr>
          <w:i w:val="1"/>
          <w:sz w:val="24"/>
          <w:szCs w:val="24"/>
          <w:rtl w:val="0"/>
        </w:rPr>
        <w:t xml:space="preserve">Default in relation to the Performance Security</w:t>
      </w:r>
      <w:r w:rsidDel="00000000" w:rsidR="00000000" w:rsidRPr="00000000">
        <w:rPr>
          <w:sz w:val="24"/>
          <w:szCs w:val="24"/>
          <w:rtl w:val="0"/>
        </w:rPr>
        <w:t xml:space="preserve">) if within ten (10) Working Days after a request from the Buyer, the Supplier replaces the affected Performance Security with other equivalent Performance Security acceptable to the Buyer.</w:t>
      </w:r>
      <w:r w:rsidDel="00000000" w:rsidR="00000000" w:rsidRPr="00000000">
        <w:rPr>
          <w:rtl w:val="0"/>
        </w:rPr>
      </w:r>
    </w:p>
    <w:p w:rsidR="00000000" w:rsidDel="00000000" w:rsidP="00000000" w:rsidRDefault="00000000" w:rsidRPr="00000000" w14:paraId="0000003A">
      <w:pPr>
        <w:pStyle w:val="Heading3"/>
        <w:numPr>
          <w:ilvl w:val="1"/>
          <w:numId w:val="4"/>
        </w:numPr>
        <w:ind w:left="1429" w:hanging="720"/>
        <w:rPr/>
      </w:pPr>
      <w:r w:rsidDel="00000000" w:rsidR="00000000" w:rsidRPr="00000000">
        <w:rPr>
          <w:sz w:val="24"/>
          <w:szCs w:val="24"/>
          <w:rtl w:val="0"/>
        </w:rPr>
        <w:t xml:space="preserve">If any Performance Security is replaced in accordance with Paragraph ‎3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Replacement of Performance Security</w:t>
      </w:r>
      <w:r w:rsidDel="00000000" w:rsidR="00000000" w:rsidRPr="00000000">
        <w:rPr>
          <w:rFonts w:ascii="Arial" w:cs="Arial" w:eastAsia="Arial" w:hAnsi="Arial"/>
          <w:sz w:val="24"/>
          <w:szCs w:val="24"/>
          <w:rtl w:val="0"/>
        </w:rPr>
        <w:t xml:space="preserve">)</w:t>
      </w:r>
      <w:r w:rsidDel="00000000" w:rsidR="00000000" w:rsidRPr="00000000">
        <w:rPr>
          <w:sz w:val="24"/>
          <w:szCs w:val="24"/>
          <w:rtl w:val="0"/>
        </w:rPr>
        <w:t xml:space="preserve">, then the Buyer shall promptly return such Letter of Credit to the bank that issued such Letter of Credit and shall execute any documents reasonably requested by the Supplier or issuing bank in order to release the Letter of Credit.</w:t>
      </w:r>
      <w:r w:rsidDel="00000000" w:rsidR="00000000" w:rsidRPr="00000000">
        <w:rPr>
          <w:rtl w:val="0"/>
        </w:rPr>
      </w:r>
    </w:p>
    <w:p w:rsidR="00000000" w:rsidDel="00000000" w:rsidP="00000000" w:rsidRDefault="00000000" w:rsidRPr="00000000" w14:paraId="0000003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Default in relation to the Performance Security</w:t>
      </w:r>
    </w:p>
    <w:p w:rsidR="00000000" w:rsidDel="00000000" w:rsidP="00000000" w:rsidRDefault="00000000" w:rsidRPr="00000000" w14:paraId="0000003C">
      <w:pPr>
        <w:pStyle w:val="Heading2"/>
        <w:keepNext w:val="1"/>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Performance Security under Paragraph 2.4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above, a Buyer may terminate the Call-Off Contract for as a material Default of the Contract for the purposes of Clause 10.4.1(d) (</w:t>
      </w:r>
      <w:r w:rsidDel="00000000" w:rsidR="00000000" w:rsidRPr="00000000">
        <w:rPr>
          <w:rFonts w:ascii="Arial" w:cs="Arial" w:eastAsia="Arial" w:hAnsi="Arial"/>
          <w:i w:val="1"/>
          <w:sz w:val="24"/>
          <w:szCs w:val="24"/>
          <w:rtl w:val="0"/>
        </w:rPr>
        <w:t xml:space="preserve">When CCS or the buyer can end a contract</w:t>
      </w:r>
      <w:r w:rsidDel="00000000" w:rsidR="00000000" w:rsidRPr="00000000">
        <w:rPr>
          <w:rFonts w:ascii="Arial" w:cs="Arial" w:eastAsia="Arial" w:hAnsi="Arial"/>
          <w:sz w:val="24"/>
          <w:szCs w:val="24"/>
          <w:rtl w:val="0"/>
        </w:rPr>
        <w:t xml:space="preserve">) of the Core Terms where:</w:t>
      </w:r>
    </w:p>
    <w:p w:rsidR="00000000" w:rsidDel="00000000" w:rsidP="00000000" w:rsidRDefault="00000000" w:rsidRPr="00000000" w14:paraId="0000003D">
      <w:pPr>
        <w:pStyle w:val="Heading3"/>
        <w:numPr>
          <w:ilvl w:val="1"/>
          <w:numId w:val="4"/>
        </w:numPr>
        <w:ind w:left="1429" w:hanging="720"/>
        <w:rPr>
          <w:rFonts w:ascii="Arial" w:cs="Arial" w:eastAsia="Arial" w:hAnsi="Arial"/>
        </w:rPr>
      </w:pPr>
      <w:r w:rsidDel="00000000" w:rsidR="00000000" w:rsidRPr="00000000">
        <w:rPr>
          <w:rFonts w:ascii="Arial" w:cs="Arial" w:eastAsia="Arial" w:hAnsi="Arial"/>
          <w:sz w:val="24"/>
          <w:szCs w:val="24"/>
          <w:rtl w:val="0"/>
        </w:rPr>
        <w:t xml:space="preserve">the Performance Security Provider withdraws the Performance Security in whole or in part for any reason whatsoever; </w:t>
      </w:r>
    </w:p>
    <w:p w:rsidR="00000000" w:rsidDel="00000000" w:rsidP="00000000" w:rsidRDefault="00000000" w:rsidRPr="00000000" w14:paraId="0000003E">
      <w:pPr>
        <w:pStyle w:val="Heading3"/>
        <w:numPr>
          <w:ilvl w:val="1"/>
          <w:numId w:val="4"/>
        </w:numPr>
        <w:ind w:left="1429" w:hanging="720"/>
        <w:rPr>
          <w:rFonts w:ascii="Arial" w:cs="Arial" w:eastAsia="Arial" w:hAnsi="Arial"/>
        </w:rPr>
      </w:pPr>
      <w:r w:rsidDel="00000000" w:rsidR="00000000" w:rsidRPr="00000000">
        <w:rPr>
          <w:rFonts w:ascii="Arial" w:cs="Arial" w:eastAsia="Arial" w:hAnsi="Arial"/>
          <w:sz w:val="24"/>
          <w:szCs w:val="24"/>
          <w:rtl w:val="0"/>
        </w:rPr>
        <w:t xml:space="preserve">the Performance Security Provider is in breach or anticipatory breach of the Performance Security; </w:t>
      </w:r>
    </w:p>
    <w:p w:rsidR="00000000" w:rsidDel="00000000" w:rsidP="00000000" w:rsidRDefault="00000000" w:rsidRPr="00000000" w14:paraId="0000003F">
      <w:pPr>
        <w:pStyle w:val="Heading3"/>
        <w:numPr>
          <w:ilvl w:val="1"/>
          <w:numId w:val="4"/>
        </w:numPr>
        <w:ind w:left="1429" w:hanging="720"/>
        <w:rPr>
          <w:rFonts w:ascii="Arial" w:cs="Arial" w:eastAsia="Arial" w:hAnsi="Arial"/>
        </w:rPr>
      </w:pPr>
      <w:r w:rsidDel="00000000" w:rsidR="00000000" w:rsidRPr="00000000">
        <w:rPr>
          <w:rFonts w:ascii="Arial" w:cs="Arial" w:eastAsia="Arial" w:hAnsi="Arial"/>
          <w:sz w:val="24"/>
          <w:szCs w:val="24"/>
          <w:rtl w:val="0"/>
        </w:rPr>
        <w:t xml:space="preserve">an Insolvency Event occurs in respect of the Performance Security Provider; </w:t>
      </w:r>
    </w:p>
    <w:p w:rsidR="00000000" w:rsidDel="00000000" w:rsidP="00000000" w:rsidRDefault="00000000" w:rsidRPr="00000000" w14:paraId="00000040">
      <w:pPr>
        <w:pStyle w:val="Heading3"/>
        <w:numPr>
          <w:ilvl w:val="1"/>
          <w:numId w:val="4"/>
        </w:numPr>
        <w:ind w:left="1429" w:hanging="720"/>
        <w:rPr>
          <w:rFonts w:ascii="Arial" w:cs="Arial" w:eastAsia="Arial" w:hAnsi="Arial"/>
        </w:rPr>
      </w:pPr>
      <w:r w:rsidDel="00000000" w:rsidR="00000000" w:rsidRPr="00000000">
        <w:rPr>
          <w:rFonts w:ascii="Arial" w:cs="Arial" w:eastAsia="Arial" w:hAnsi="Arial"/>
          <w:sz w:val="24"/>
          <w:szCs w:val="24"/>
          <w:rtl w:val="0"/>
        </w:rPr>
        <w:t xml:space="preserve">the Performance Security becomes invalid or unenforceable for any reason whatsoever; </w:t>
      </w:r>
    </w:p>
    <w:p w:rsidR="00000000" w:rsidDel="00000000" w:rsidP="00000000" w:rsidRDefault="00000000" w:rsidRPr="00000000" w14:paraId="00000041">
      <w:pPr>
        <w:pStyle w:val="Heading3"/>
        <w:numPr>
          <w:ilvl w:val="1"/>
          <w:numId w:val="4"/>
        </w:numPr>
        <w:ind w:left="1429" w:hanging="720"/>
        <w:rPr>
          <w:rFonts w:ascii="Arial" w:cs="Arial" w:eastAsia="Arial" w:hAnsi="Arial"/>
        </w:rPr>
      </w:pPr>
      <w:bookmarkStart w:colFirst="0" w:colLast="0" w:name="_u6fktsgaut6f" w:id="9"/>
      <w:bookmarkEnd w:id="9"/>
      <w:r w:rsidDel="00000000" w:rsidR="00000000" w:rsidRPr="00000000">
        <w:rPr>
          <w:rFonts w:ascii="Arial" w:cs="Arial" w:eastAsia="Arial" w:hAnsi="Arial"/>
          <w:sz w:val="24"/>
          <w:szCs w:val="24"/>
          <w:rtl w:val="0"/>
        </w:rPr>
        <w:t xml:space="preserve">a Credit Event occurs in respect of the Performance Security Provider; or</w:t>
      </w:r>
    </w:p>
    <w:p w:rsidR="00000000" w:rsidDel="00000000" w:rsidP="00000000" w:rsidRDefault="00000000" w:rsidRPr="00000000" w14:paraId="00000042">
      <w:pPr>
        <w:pStyle w:val="Heading3"/>
        <w:numPr>
          <w:ilvl w:val="1"/>
          <w:numId w:val="4"/>
        </w:numPr>
        <w:ind w:left="1429" w:hanging="720"/>
        <w:rPr>
          <w:rFonts w:ascii="Arial" w:cs="Arial" w:eastAsia="Arial" w:hAnsi="Arial"/>
        </w:rPr>
      </w:pPr>
      <w:r w:rsidDel="00000000" w:rsidR="00000000" w:rsidRPr="00000000">
        <w:rPr>
          <w:rFonts w:ascii="Arial" w:cs="Arial" w:eastAsia="Arial" w:hAnsi="Arial"/>
          <w:sz w:val="24"/>
          <w:szCs w:val="24"/>
          <w:rtl w:val="0"/>
        </w:rPr>
        <w:t xml:space="preserve">the Supplier fails to provide any of the documentation required by Paragraph 2.4 (</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by the date so specified by the Buyer,</w:t>
      </w:r>
    </w:p>
    <w:p w:rsidR="00000000" w:rsidDel="00000000" w:rsidP="00000000" w:rsidRDefault="00000000" w:rsidRPr="00000000" w14:paraId="00000043">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Performance Security is not replaced within ten (10) Working Days by an alternative Performance Security acceptable to the Buyer.</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Drawing of Performance Security</w:t>
      </w:r>
    </w:p>
    <w:p w:rsidR="00000000" w:rsidDel="00000000" w:rsidP="00000000" w:rsidRDefault="00000000" w:rsidRPr="00000000" w14:paraId="00000046">
      <w:pPr>
        <w:pStyle w:val="Heading1"/>
        <w:numPr>
          <w:ilvl w:val="1"/>
          <w:numId w:val="4"/>
        </w:numPr>
        <w:ind w:left="1429" w:hanging="720"/>
        <w:rPr/>
      </w:pPr>
      <w:r w:rsidDel="00000000" w:rsidR="00000000" w:rsidRPr="00000000">
        <w:rPr>
          <w:b w:val="0"/>
          <w:sz w:val="24"/>
          <w:szCs w:val="24"/>
          <w:rtl w:val="0"/>
        </w:rPr>
        <w:t xml:space="preserve">If the Supplier is fails to make payment of any amounts due by it under the Call-Off Contract (whether in respect of liquidated damages or otherwise, the Buyer shall be entitled to draw upon the Performance Security in respect of any such amounts that have not been paid by the Supplier when due.</w:t>
      </w:r>
    </w:p>
    <w:p w:rsidR="00000000" w:rsidDel="00000000" w:rsidP="00000000" w:rsidRDefault="00000000" w:rsidRPr="00000000" w14:paraId="00000047">
      <w:pPr>
        <w:pStyle w:val="Heading1"/>
        <w:numPr>
          <w:ilvl w:val="1"/>
          <w:numId w:val="4"/>
        </w:numPr>
        <w:ind w:left="1429" w:hanging="720"/>
        <w:rPr/>
      </w:pPr>
      <w:r w:rsidDel="00000000" w:rsidR="00000000" w:rsidRPr="00000000">
        <w:rPr>
          <w:b w:val="0"/>
          <w:sz w:val="24"/>
          <w:szCs w:val="24"/>
          <w:rtl w:val="0"/>
        </w:rPr>
        <w:t xml:space="preserve">If a Default has occurred and is continuing, the Buyer shall be entitled to draw upon the Performance Security posted by the Supplier for any Damages that have not been paid when due and that arise from (i) such Default and/or (ii) any prior Default to the extent that Damages arising therefrom have not yet been paid in full to the Buyer.</w:t>
      </w:r>
    </w:p>
    <w:p w:rsidR="00000000" w:rsidDel="00000000" w:rsidP="00000000" w:rsidRDefault="00000000" w:rsidRPr="00000000" w14:paraId="00000048">
      <w:pPr>
        <w:pStyle w:val="Heading1"/>
        <w:numPr>
          <w:ilvl w:val="1"/>
          <w:numId w:val="4"/>
        </w:numPr>
        <w:ind w:left="1429" w:hanging="720"/>
        <w:rPr/>
      </w:pPr>
      <w:r w:rsidDel="00000000" w:rsidR="00000000" w:rsidRPr="00000000">
        <w:rPr>
          <w:b w:val="0"/>
          <w:sz w:val="24"/>
          <w:szCs w:val="24"/>
          <w:rtl w:val="0"/>
        </w:rPr>
        <w:t xml:space="preserve">If the Call-Off Contract is terminated by the Buyer as a result of a Default, the Buyer shall be entitled to draw upon the Performance Security posted by the Supplier for any amount of the Termination Payment (as applicable) that has not been paid when due.</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1429" w:right="0" w:hanging="720"/>
        <w:jc w:val="both"/>
        <w:rPr>
          <w:rFonts w:ascii="Calibri" w:cs="Calibri" w:eastAsia="Calibri" w:hAnsi="Calibri"/>
          <w:i w:val="0"/>
          <w:smallCaps w:val="0"/>
          <w:strike w:val="0"/>
          <w:color w:val="000000"/>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the case of Performance Security in the form of a Letter of Credit, the Buyer may draw the full amount of such Letter of Credit within thirty (30) days before the expiration of such Letter of Credit if, as of the date of such drawing, the Buyer does not receive replacement Performance Security meeting the requirements of the Call-Off Contract.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Form of Letter of Intent to Guarantee</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PERFORMANCE SECURITY PROVIDER]</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w:t>
      </w:r>
      <w:r w:rsidDel="00000000" w:rsidR="00000000" w:rsidRPr="00000000">
        <w:rPr>
          <w:rFonts w:ascii="Arial" w:cs="Arial" w:eastAsia="Arial" w:hAnsi="Arial"/>
          <w:color w:val="000000"/>
          <w:sz w:val="24"/>
          <w:szCs w:val="24"/>
          <w:vertAlign w:val="superscript"/>
          <w:rtl w:val="0"/>
        </w:rPr>
        <w:t xml:space="preserve">th</w:t>
      </w:r>
      <w:r w:rsidDel="00000000" w:rsidR="00000000" w:rsidRPr="00000000">
        <w:rPr>
          <w:rFonts w:ascii="Arial" w:cs="Arial" w:eastAsia="Arial" w:hAnsi="Arial"/>
          <w:color w:val="000000"/>
          <w:sz w:val="24"/>
          <w:szCs w:val="24"/>
          <w:rtl w:val="0"/>
        </w:rPr>
        <w:t xml:space="preserve">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RM6289 Provision of Power Purchase Agreement (the “Framework Contract”)</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of Joint Schedule 8 of the Framework Contract); and</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[Standby Letter of Credit in the form set out in Annex 3 to Joint Schedule 8 of the Framework Contract] (paragraph 2.1.2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of Joint Schedule 8 of the Framework Contract) [specify other forms of credit support permitted under Call-Off Schedule 20 (</w:t>
      </w:r>
      <w:r w:rsidDel="00000000" w:rsidR="00000000" w:rsidRPr="00000000">
        <w:rPr>
          <w:rFonts w:ascii="Arial" w:cs="Arial" w:eastAsia="Arial" w:hAnsi="Arial"/>
          <w:i w:val="1"/>
          <w:color w:val="000000"/>
          <w:sz w:val="24"/>
          <w:szCs w:val="24"/>
          <w:rtl w:val="0"/>
        </w:rPr>
        <w:t xml:space="preserve">Call-Off Specification</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A">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[Letter of Credit] [other form of Performance Security]</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 in accordance with the Framework Contract; and</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[Letter of Credit] [other form of Performance Security]</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in accordance paragraph 2.1.2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Obligation to Provide Performance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of Joint Schedule 8 of the Framework Contract; or </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60">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61">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w:t>
      </w:r>
      <w:r w:rsidDel="00000000" w:rsidR="00000000" w:rsidRPr="00000000">
        <w:rPr>
          <w:rFonts w:ascii="Arial" w:cs="Arial" w:eastAsia="Arial" w:hAnsi="Arial"/>
          <w:i w:val="1"/>
          <w:color w:val="000000"/>
          <w:sz w:val="24"/>
          <w:szCs w:val="24"/>
          <w:rtl w:val="0"/>
        </w:rPr>
        <w:t xml:space="preserve">Resolving Disputes</w:t>
      </w:r>
      <w:r w:rsidDel="00000000" w:rsidR="00000000" w:rsidRPr="00000000">
        <w:rPr>
          <w:rFonts w:ascii="Arial" w:cs="Arial" w:eastAsia="Arial" w:hAnsi="Arial"/>
          <w:color w:val="000000"/>
          <w:sz w:val="24"/>
          <w:szCs w:val="24"/>
          <w:rtl w:val="0"/>
        </w:rPr>
        <w:t xml:space="preserve">) of the Core Terms of the Framework Contract as if that clause applied to this Letter of Intent to Guarantee.</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PERFORMANCE SECURITY PROVIDER]</w:t>
      </w: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Performance Security Provider approving the intention to enter into a Letter of Intent to Guarantee</w:t>
      </w:r>
      <w:r w:rsidDel="00000000" w:rsidR="00000000" w:rsidRPr="00000000">
        <w:rPr>
          <w:rtl w:val="0"/>
        </w:rPr>
      </w:r>
    </w:p>
    <w:p w:rsidR="00000000" w:rsidDel="00000000" w:rsidP="00000000" w:rsidRDefault="00000000" w:rsidRPr="00000000" w14:paraId="00000069">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Guarantee</w:t>
      </w:r>
    </w:p>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75">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6">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77">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7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7C">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7D">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7E">
      <w:pPr>
        <w:pStyle w:val="Heading1"/>
        <w:numPr>
          <w:ilvl w:val="0"/>
          <w:numId w:val="5"/>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80">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81">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RM6289 Provision of Power Purchase Agreement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gajfd2bia8jh" w:id="10"/>
            <w:bookmarkEnd w:id="10"/>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8F">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90">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91">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9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9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96">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9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9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bookmarkStart w:colFirst="0" w:colLast="0" w:name="_wc2vhzo8722t" w:id="11"/>
      <w:bookmarkEnd w:id="11"/>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9A">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9B">
      <w:pPr>
        <w:pStyle w:val="Heading2"/>
        <w:numPr>
          <w:ilvl w:val="1"/>
          <w:numId w:val="5"/>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9C">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9D">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9E">
      <w:pPr>
        <w:pStyle w:val="Heading2"/>
        <w:numPr>
          <w:ilvl w:val="1"/>
          <w:numId w:val="5"/>
        </w:numPr>
        <w:ind w:left="1429" w:hanging="720"/>
        <w:rPr>
          <w:rFonts w:ascii="Arial" w:cs="Arial" w:eastAsia="Arial" w:hAnsi="Arial"/>
          <w:sz w:val="24"/>
          <w:szCs w:val="24"/>
        </w:rPr>
      </w:pPr>
      <w:bookmarkStart w:colFirst="0" w:colLast="0" w:name="_rg904hr2e3io" w:id="12"/>
      <w:bookmarkEnd w:id="12"/>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w:t>
      </w:r>
      <w:r w:rsidDel="00000000" w:rsidR="00000000" w:rsidRPr="00000000">
        <w:rPr>
          <w:rFonts w:ascii="Arial" w:cs="Arial" w:eastAsia="Arial" w:hAnsi="Arial"/>
          <w:i w:val="1"/>
          <w:sz w:val="24"/>
          <w:szCs w:val="24"/>
          <w:rtl w:val="0"/>
        </w:rPr>
        <w:t xml:space="preserve">Guarantee and </w:t>
      </w:r>
      <w:r w:rsidDel="00000000" w:rsidR="00000000" w:rsidRPr="00000000">
        <w:rPr>
          <w:rFonts w:ascii="Arial" w:cs="Arial" w:eastAsia="Arial" w:hAnsi="Arial"/>
          <w:sz w:val="24"/>
          <w:szCs w:val="24"/>
          <w:rtl w:val="0"/>
        </w:rPr>
        <w:t xml:space="preserve">Indemnity) to 2.3 (</w:t>
      </w:r>
      <w:r w:rsidDel="00000000" w:rsidR="00000000" w:rsidRPr="00000000">
        <w:rPr>
          <w:rFonts w:ascii="Arial" w:cs="Arial" w:eastAsia="Arial" w:hAnsi="Arial"/>
          <w:i w:val="1"/>
          <w:sz w:val="24"/>
          <w:szCs w:val="24"/>
          <w:rtl w:val="0"/>
        </w:rPr>
        <w:t xml:space="preserve">Guarantee and </w:t>
      </w:r>
      <w:r w:rsidDel="00000000" w:rsidR="00000000" w:rsidRPr="00000000">
        <w:rPr>
          <w:rFonts w:ascii="Arial" w:cs="Arial" w:eastAsia="Arial" w:hAnsi="Arial"/>
          <w:sz w:val="24"/>
          <w:szCs w:val="24"/>
          <w:rtl w:val="0"/>
        </w:rPr>
        <w:t xml:space="preserve">Indemnity)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r w:rsidDel="00000000" w:rsidR="00000000" w:rsidRPr="00000000">
        <w:rPr>
          <w:rFonts w:ascii="Arial" w:cs="Arial" w:eastAsia="Arial" w:hAnsi="Arial"/>
          <w:sz w:val="24"/>
          <w:szCs w:val="24"/>
          <w:vertAlign w:val="superscript"/>
        </w:rPr>
        <w:footnoteReference w:customMarkFollows="0" w:id="3"/>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F">
      <w:pPr>
        <w:pStyle w:val="Heading1"/>
        <w:numPr>
          <w:ilvl w:val="0"/>
          <w:numId w:val="5"/>
        </w:numPr>
        <w:ind w:left="720" w:hanging="720"/>
        <w:rPr>
          <w:rFonts w:ascii="Arial" w:cs="Arial" w:eastAsia="Arial" w:hAnsi="Arial"/>
          <w:sz w:val="24"/>
          <w:szCs w:val="24"/>
        </w:rPr>
      </w:pPr>
      <w:bookmarkStart w:colFirst="0" w:colLast="0" w:name="_smj7ga932lpo" w:id="13"/>
      <w:bookmarkEnd w:id="13"/>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ulcgvk53ltfk" w:id="14"/>
      <w:bookmarkEnd w:id="14"/>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A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A2">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A7">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A8">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A9">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AA">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AB">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AC">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AD">
      <w:pPr>
        <w:pStyle w:val="Heading1"/>
        <w:numPr>
          <w:ilvl w:val="0"/>
          <w:numId w:val="5"/>
        </w:numPr>
        <w:ind w:left="720" w:hanging="720"/>
        <w:rPr>
          <w:rFonts w:ascii="Arial" w:cs="Arial" w:eastAsia="Arial" w:hAnsi="Arial"/>
          <w:sz w:val="24"/>
          <w:szCs w:val="24"/>
        </w:rPr>
      </w:pPr>
      <w:bookmarkStart w:colFirst="0" w:colLast="0" w:name="_oo9c9b8tm754" w:id="15"/>
      <w:bookmarkEnd w:id="15"/>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AE">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AF">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B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B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B2">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B3">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B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B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B6">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B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B8">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B9">
      <w:pPr>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BA">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BC">
      <w:pPr>
        <w:pStyle w:val="Heading1"/>
        <w:numPr>
          <w:ilvl w:val="0"/>
          <w:numId w:val="5"/>
        </w:numPr>
        <w:ind w:left="720" w:hanging="720"/>
        <w:rPr>
          <w:rFonts w:ascii="Arial" w:cs="Arial" w:eastAsia="Arial" w:hAnsi="Arial"/>
          <w:sz w:val="24"/>
          <w:szCs w:val="24"/>
        </w:rPr>
      </w:pPr>
      <w:bookmarkStart w:colFirst="0" w:colLast="0" w:name="_bjhva7qatmia" w:id="16"/>
      <w:bookmarkEnd w:id="16"/>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BD">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BE">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BF">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C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‎7 (</w:t>
      </w:r>
      <w:r w:rsidDel="00000000" w:rsidR="00000000" w:rsidRPr="00000000">
        <w:rPr>
          <w:rFonts w:ascii="Arial" w:cs="Arial" w:eastAsia="Arial" w:hAnsi="Arial"/>
          <w:i w:val="1"/>
          <w:color w:val="000000"/>
          <w:sz w:val="24"/>
          <w:szCs w:val="24"/>
          <w:rtl w:val="0"/>
        </w:rPr>
        <w:t xml:space="preserve">Rights of Subrogation</w:t>
      </w:r>
      <w:r w:rsidDel="00000000" w:rsidR="00000000" w:rsidRPr="00000000">
        <w:rPr>
          <w:rFonts w:ascii="Arial" w:cs="Arial" w:eastAsia="Arial" w:hAnsi="Arial"/>
          <w:color w:val="000000"/>
          <w:sz w:val="24"/>
          <w:szCs w:val="24"/>
          <w:rtl w:val="0"/>
        </w:rPr>
        <w:t xml:space="preserve">) on trust for the Beneficiary.</w:t>
      </w:r>
    </w:p>
    <w:p w:rsidR="00000000" w:rsidDel="00000000" w:rsidP="00000000" w:rsidRDefault="00000000" w:rsidRPr="00000000" w14:paraId="000000C2">
      <w:pPr>
        <w:pStyle w:val="Heading1"/>
        <w:numPr>
          <w:ilvl w:val="0"/>
          <w:numId w:val="5"/>
        </w:numPr>
        <w:ind w:left="720" w:hanging="720"/>
        <w:rPr>
          <w:rFonts w:ascii="Arial" w:cs="Arial" w:eastAsia="Arial" w:hAnsi="Arial"/>
          <w:sz w:val="24"/>
          <w:szCs w:val="24"/>
        </w:rPr>
      </w:pPr>
      <w:bookmarkStart w:colFirst="0" w:colLast="0" w:name="_jofuoxxx910u" w:id="17"/>
      <w:bookmarkEnd w:id="17"/>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C3">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C4">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C5">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C6">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C7">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C8">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C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w:t>
      </w:r>
      <w:r w:rsidDel="00000000" w:rsidR="00000000" w:rsidRPr="00000000">
        <w:rPr>
          <w:rFonts w:ascii="Arial" w:cs="Arial" w:eastAsia="Arial" w:hAnsi="Arial"/>
          <w:i w:val="1"/>
          <w:sz w:val="24"/>
          <w:szCs w:val="24"/>
          <w:rtl w:val="0"/>
        </w:rPr>
        <w:t xml:space="preserve">Deferral of Rights</w:t>
      </w:r>
      <w:r w:rsidDel="00000000" w:rsidR="00000000" w:rsidRPr="00000000">
        <w:rPr>
          <w:rFonts w:ascii="Arial" w:cs="Arial" w:eastAsia="Arial" w:hAnsi="Arial"/>
          <w:sz w:val="24"/>
          <w:szCs w:val="24"/>
          <w:rtl w:val="0"/>
        </w:rPr>
        <w:t xml:space="preserve">),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CA">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CB">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CC">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CD">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CE">
      <w:pPr>
        <w:pStyle w:val="Heading3"/>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w:t>
      </w:r>
      <w:r w:rsidDel="00000000" w:rsidR="00000000" w:rsidRPr="00000000">
        <w:rPr>
          <w:rFonts w:ascii="Arial" w:cs="Arial" w:eastAsia="Arial" w:hAnsi="Arial"/>
          <w:i w:val="1"/>
          <w:sz w:val="24"/>
          <w:szCs w:val="24"/>
          <w:rtl w:val="0"/>
        </w:rPr>
        <w:t xml:space="preserve">Obligation to Enter a New Contract</w:t>
      </w:r>
      <w:r w:rsidDel="00000000" w:rsidR="00000000" w:rsidRPr="00000000">
        <w:rPr>
          <w:rFonts w:ascii="Arial" w:cs="Arial" w:eastAsia="Arial" w:hAnsi="Arial"/>
          <w:sz w:val="24"/>
          <w:szCs w:val="24"/>
          <w:rtl w:val="0"/>
        </w:rPr>
        <w:t xml:space="preserve">), have been duly authorised by all necessary corporate action and do not contravene or conflict with:</w:t>
      </w:r>
    </w:p>
    <w:p w:rsidR="00000000" w:rsidDel="00000000" w:rsidP="00000000" w:rsidRDefault="00000000" w:rsidRPr="00000000" w14:paraId="000000CF">
      <w:pPr>
        <w:pStyle w:val="Heading3"/>
        <w:keepNext w:val="1"/>
        <w:numPr>
          <w:ilvl w:val="3"/>
          <w:numId w:val="5"/>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D0">
      <w:pPr>
        <w:pStyle w:val="Heading3"/>
        <w:keepNext w:val="1"/>
        <w:numPr>
          <w:ilvl w:val="3"/>
          <w:numId w:val="5"/>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D1">
      <w:pPr>
        <w:pStyle w:val="Heading3"/>
        <w:keepNext w:val="1"/>
        <w:numPr>
          <w:ilvl w:val="3"/>
          <w:numId w:val="5"/>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D2">
      <w:pPr>
        <w:pStyle w:val="Heading3"/>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D3">
      <w:pPr>
        <w:pStyle w:val="Heading3"/>
        <w:keepNext w:val="1"/>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D4">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D5">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D6">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D7">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D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DA">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DB">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DC">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DD">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DF">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E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E3">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E4">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E5">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E6">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E7">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E9">
      <w:pPr>
        <w:pStyle w:val="Heading2"/>
        <w:keepNext w:val="1"/>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EF">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3 – Standby Letter of Credit </w:t>
      </w:r>
    </w:p>
    <w:p w:rsidR="00000000" w:rsidDel="00000000" w:rsidP="00000000" w:rsidRDefault="00000000" w:rsidRPr="00000000" w14:paraId="000000F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[Insert name and address of the issuing bank]</w:t>
      </w:r>
    </w:p>
    <w:p w:rsidR="00000000" w:rsidDel="00000000" w:rsidP="00000000" w:rsidRDefault="00000000" w:rsidRPr="00000000" w14:paraId="000000F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Issuing Bank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t>
        <w:tab/>
        <w:t xml:space="preserve">[Insert name and address of the beneficiary]</w:t>
      </w:r>
    </w:p>
    <w:p w:rsidR="00000000" w:rsidDel="00000000" w:rsidP="00000000" w:rsidRDefault="00000000" w:rsidRPr="00000000" w14:paraId="000000F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Beneficiary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0F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Irrevocable Standby Letter of Credit no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Issuing Bank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issues this irrevocable standby letter of credit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Letter of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your favour on the following terms and conditions:</w:t>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Definitions</w:t>
      </w:r>
    </w:p>
    <w:p w:rsidR="00000000" w:rsidDel="00000000" w:rsidP="00000000" w:rsidRDefault="00000000" w:rsidRPr="00000000" w14:paraId="000000F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Letter of Credit:</w:t>
      </w:r>
    </w:p>
    <w:p w:rsidR="00000000" w:rsidDel="00000000" w:rsidP="00000000" w:rsidRDefault="00000000" w:rsidRPr="00000000" w14:paraId="000000F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defined elsewhere in this Letter of Credit or the context requires otherwise, defined terms shall have the same meaning as they have for the purposes of the Guaranteed Agreement; </w:t>
      </w:r>
    </w:p>
    <w:p w:rsidR="00000000" w:rsidDel="00000000" w:rsidP="00000000" w:rsidRDefault="00000000" w:rsidRPr="00000000" w14:paraId="000000F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and phrases below shall have the following meanings: </w:t>
      </w:r>
    </w:p>
    <w:p w:rsidR="00000000" w:rsidDel="00000000" w:rsidP="00000000" w:rsidRDefault="00000000" w:rsidRPr="00000000" w14:paraId="000000F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Business Day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day (other than a Saturday or a Sunday) on which banks are open for general business in [London].</w:t>
      </w:r>
    </w:p>
    <w:p w:rsidR="00000000" w:rsidDel="00000000" w:rsidP="00000000" w:rsidRDefault="00000000" w:rsidRPr="00000000" w14:paraId="000000F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has the meaning given to it the Framework Contract. </w:t>
      </w:r>
    </w:p>
    <w:p w:rsidR="00000000" w:rsidDel="00000000" w:rsidP="00000000" w:rsidRDefault="00000000" w:rsidRPr="00000000" w14:paraId="000000F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Demand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demand for a payment under this Letter of Credit in the form of the schedule to this Letter of Credit.</w:t>
      </w:r>
    </w:p>
    <w:p w:rsidR="00000000" w:rsidDel="00000000" w:rsidP="00000000" w:rsidRDefault="00000000" w:rsidRPr="00000000" w14:paraId="000000F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Expiry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w:t>
      </w:r>
    </w:p>
    <w:p w:rsidR="00000000" w:rsidDel="00000000" w:rsidP="00000000" w:rsidRDefault="00000000" w:rsidRPr="00000000" w14:paraId="0000010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Framework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framework contract with reference RM6289 (Provision of Power Purchase Agreement) between the Minister for the Cabinet Office represented by its executive agency the Crown Commercial Service and the Supplier; </w:t>
      </w:r>
    </w:p>
    <w:p w:rsidR="00000000" w:rsidDel="00000000" w:rsidP="00000000" w:rsidRDefault="00000000" w:rsidRPr="00000000" w14:paraId="0000010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Guaranteed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[each Call-Off Contract] [the Call-Off Contract] made between the Beneficiary and the Supplier [from time to time] </w:t>
      </w:r>
    </w:p>
    <w:p w:rsidR="00000000" w:rsidDel="00000000" w:rsidP="00000000" w:rsidRDefault="00000000" w:rsidRPr="00000000" w14:paraId="000001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Total L/C Amount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w:t>
      </w:r>
    </w:p>
    <w:p w:rsidR="00000000" w:rsidDel="00000000" w:rsidP="00000000" w:rsidRDefault="00000000" w:rsidRPr="00000000" w14:paraId="000001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Issuing Bank's agreement</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may request a drawing or drawings under this Letter of Credit by giving to the Issuing Bank a duly completed Demand.  A Demand must be received by the Issuing Bank by 5:00 p.m. (London time) on the Expiry Date.</w:t>
      </w:r>
    </w:p>
    <w:p w:rsidR="00000000" w:rsidDel="00000000" w:rsidP="00000000" w:rsidRDefault="00000000" w:rsidRPr="00000000" w14:paraId="000001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Subject to the terms of this Letter of Credit, the Issuing Bank unconditionally and irrevocably undertakes to the Beneficiary that, within [ten] Business Days of receipt by it of a Demand, it must pay to the Beneficiary the amount demanded in that Demand.</w:t>
      </w:r>
    </w:p>
    <w:p w:rsidR="00000000" w:rsidDel="00000000" w:rsidP="00000000" w:rsidRDefault="00000000" w:rsidRPr="00000000" w14:paraId="000001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Issuing Bank will not be obliged to make a payment under this Letter of Credit if as a result the aggregate of all payments made by it under this Letter of Credit would exceed the Total L/C Amount.</w:t>
      </w:r>
    </w:p>
    <w:p w:rsidR="00000000" w:rsidDel="00000000" w:rsidP="00000000" w:rsidRDefault="00000000" w:rsidRPr="00000000" w14:paraId="0000010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Expiry</w:t>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Issuing Bank will be released from its obligations under this Letter of Credit on the date (if any) notified by the Beneficiary to the Issuing Bank as the date upon which the obligations of the Issuing Bank under this Letter of Credit are released.</w:t>
      </w:r>
    </w:p>
    <w:p w:rsidR="00000000" w:rsidDel="00000000" w:rsidP="00000000" w:rsidRDefault="00000000" w:rsidRPr="00000000" w14:paraId="000001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previously released under paragraph 3.1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Expiry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above, on [●] p.m. (London time) on the Expiry Date the obligations of the Issuing Bank under this Letter of Credit will cease with no further liability on the part of the Issuing Bank except for any Demand validly presented under the Letter of Credit that remains unpaid.</w:t>
      </w:r>
    </w:p>
    <w:p w:rsidR="00000000" w:rsidDel="00000000" w:rsidP="00000000" w:rsidRDefault="00000000" w:rsidRPr="00000000" w14:paraId="000001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Issuing Bank is no longer under any further obligations under this Letter of Credit, the Beneficiary must return the original of this Letter of Credit to the Issuing Bank.</w:t>
      </w:r>
    </w:p>
    <w:p w:rsidR="00000000" w:rsidDel="00000000" w:rsidP="00000000" w:rsidRDefault="00000000" w:rsidRPr="00000000" w14:paraId="0000010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Payments</w:t>
      </w:r>
    </w:p>
    <w:p w:rsidR="00000000" w:rsidDel="00000000" w:rsidP="00000000" w:rsidRDefault="00000000" w:rsidRPr="00000000" w14:paraId="0000010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under this Letter of Credit shall be made in [●] and for value on the due date to the account of the Beneficiary specified in the Demand.</w:t>
      </w:r>
    </w:p>
    <w:p w:rsidR="00000000" w:rsidDel="00000000" w:rsidP="00000000" w:rsidRDefault="00000000" w:rsidRPr="00000000" w14:paraId="000001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Delivery of Demand</w:t>
      </w:r>
    </w:p>
    <w:p w:rsidR="00000000" w:rsidDel="00000000" w:rsidP="00000000" w:rsidRDefault="00000000" w:rsidRPr="00000000" w14:paraId="0000010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Demand shall be in writing, and, unless otherwise stated, may be made by letter or fax and must be received in legible form by the Issuing Bank at its address and by the particular department or officer (if any) as follows:</w:t>
      </w:r>
    </w:p>
    <w:p w:rsidR="00000000" w:rsidDel="00000000" w:rsidP="00000000" w:rsidRDefault="00000000" w:rsidRPr="00000000" w14:paraId="0000010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Assignment</w:t>
      </w:r>
    </w:p>
    <w:p w:rsidR="00000000" w:rsidDel="00000000" w:rsidP="00000000" w:rsidRDefault="00000000" w:rsidRPr="00000000" w14:paraId="0000011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Beneficiary's rights under this Letter of Credit may not be assigned or transferred.</w:t>
      </w:r>
    </w:p>
    <w:p w:rsidR="00000000" w:rsidDel="00000000" w:rsidP="00000000" w:rsidRDefault="00000000" w:rsidRPr="00000000" w14:paraId="0000011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ISP 98</w:t>
      </w:r>
    </w:p>
    <w:p w:rsidR="00000000" w:rsidDel="00000000" w:rsidP="00000000" w:rsidRDefault="00000000" w:rsidRPr="00000000" w14:paraId="0000011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to the extent it is inconsistent with the express terms of this Letter of Credit, this Letter of Credit is subject to the International Standby Practices (ISP 98), International Chamber of Commerce Publication No. 590.</w:t>
      </w:r>
    </w:p>
    <w:p w:rsidR="00000000" w:rsidDel="00000000" w:rsidP="00000000" w:rsidRDefault="00000000" w:rsidRPr="00000000" w14:paraId="0000011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Payments and Set-Off </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sums payable by the Issuing Bank under this Letter of Credit shall be paid without any set-off, lien or counterclaim, deduction or withholding, howsoever arising, except for those required by law, and if any deduction or withholding must be made by law, the Issuing Bank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1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Issuing Bank shall pay interest on any amount due under this Letter of Credit from the due date until the date of actual payment in full calculated on a daily basis at the annual rate of eight per cent (8%) above the base rate as published by the Bank of England.</w:t>
      </w:r>
    </w:p>
    <w:p w:rsidR="00000000" w:rsidDel="00000000" w:rsidP="00000000" w:rsidRDefault="00000000" w:rsidRPr="00000000" w14:paraId="000001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Issuing Bank will reimburse the Beneficiary for all legal and other costs (including VAT) incurred by the Beneficiary in connection with the enforcement of this Letter of Credit.</w:t>
      </w:r>
    </w:p>
    <w:p w:rsidR="00000000" w:rsidDel="00000000" w:rsidP="00000000" w:rsidRDefault="00000000" w:rsidRPr="00000000" w14:paraId="00000118">
      <w:pPr>
        <w:pStyle w:val="Heading1"/>
        <w:numPr>
          <w:ilvl w:val="1"/>
          <w:numId w:val="2"/>
        </w:numPr>
        <w:spacing w:after="260" w:before="0" w:lineRule="auto"/>
        <w:ind w:left="709" w:hanging="709"/>
        <w:rPr>
          <w:sz w:val="24"/>
          <w:szCs w:val="24"/>
        </w:rPr>
      </w:pPr>
      <w:r w:rsidDel="00000000" w:rsidR="00000000" w:rsidRPr="00000000">
        <w:rPr>
          <w:sz w:val="24"/>
          <w:szCs w:val="24"/>
          <w:rtl w:val="0"/>
        </w:rPr>
        <w:t xml:space="preserve">No Waiver</w:t>
      </w:r>
    </w:p>
    <w:p w:rsidR="00000000" w:rsidDel="00000000" w:rsidP="00000000" w:rsidRDefault="00000000" w:rsidRPr="00000000" w14:paraId="0000011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waiver by the Beneficiary shall not constitute a continuing waiver and shall not prevent the Beneficiary from subsequently enforcing any of the provisions of this Letter of Credit.</w:t>
      </w:r>
    </w:p>
    <w:p w:rsidR="00000000" w:rsidDel="00000000" w:rsidP="00000000" w:rsidRDefault="00000000" w:rsidRPr="00000000" w14:paraId="0000011A">
      <w:pPr>
        <w:pStyle w:val="Heading1"/>
        <w:numPr>
          <w:ilvl w:val="1"/>
          <w:numId w:val="2"/>
        </w:numPr>
        <w:spacing w:after="260" w:before="0" w:lineRule="auto"/>
        <w:ind w:left="709" w:hanging="709"/>
        <w:rPr>
          <w:sz w:val="24"/>
          <w:szCs w:val="24"/>
        </w:rPr>
      </w:pPr>
      <w:r w:rsidDel="00000000" w:rsidR="00000000" w:rsidRPr="00000000">
        <w:rPr>
          <w:sz w:val="24"/>
          <w:szCs w:val="24"/>
          <w:rtl w:val="0"/>
        </w:rPr>
        <w:t xml:space="preserve">Issuing Bank’s Acknowledgment </w:t>
      </w:r>
    </w:p>
    <w:p w:rsidR="00000000" w:rsidDel="00000000" w:rsidP="00000000" w:rsidRDefault="00000000" w:rsidRPr="00000000" w14:paraId="0000011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Bank warrants, acknowledges and confirms to the Beneficiary that it has not entered into this Letter of Credit in reliance upon, nor has it been induced to enter into this Letter of Credit by any representation, warranty or undertaking made by or on behalf of the Beneficiary (whether express or implied and whether pursuant to statute or otherwise) which is not set out in this Letter of Credit.</w:t>
      </w:r>
    </w:p>
    <w:p w:rsidR="00000000" w:rsidDel="00000000" w:rsidP="00000000" w:rsidRDefault="00000000" w:rsidRPr="00000000" w14:paraId="0000011C">
      <w:pPr>
        <w:pStyle w:val="Heading1"/>
        <w:numPr>
          <w:ilvl w:val="1"/>
          <w:numId w:val="2"/>
        </w:numPr>
        <w:spacing w:after="260" w:before="0" w:lineRule="auto"/>
        <w:ind w:left="709" w:hanging="709"/>
        <w:rPr>
          <w:sz w:val="24"/>
          <w:szCs w:val="24"/>
        </w:rPr>
      </w:pPr>
      <w:r w:rsidDel="00000000" w:rsidR="00000000" w:rsidRPr="00000000">
        <w:rPr>
          <w:sz w:val="24"/>
          <w:szCs w:val="24"/>
          <w:rtl w:val="0"/>
        </w:rPr>
        <w:t xml:space="preserve">Severance</w:t>
      </w:r>
    </w:p>
    <w:p w:rsidR="00000000" w:rsidDel="00000000" w:rsidP="00000000" w:rsidRDefault="00000000" w:rsidRPr="00000000" w14:paraId="0000011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Letter of Credit is held invalid, illegal or unenforceable for any reason by any court of competent jurisdiction, such provision shall be severed and the remainder of the provisions hereof shall continue in full force and effect as if this Letter of Credit had been executed with the invalid, illegal or unenforceable provision eliminated.</w:t>
      </w:r>
    </w:p>
    <w:p w:rsidR="00000000" w:rsidDel="00000000" w:rsidP="00000000" w:rsidRDefault="00000000" w:rsidRPr="00000000" w14:paraId="0000011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Rights of Third Parties </w:t>
      </w:r>
    </w:p>
    <w:p w:rsidR="00000000" w:rsidDel="00000000" w:rsidP="00000000" w:rsidRDefault="00000000" w:rsidRPr="00000000" w14:paraId="0000011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who is not a party to this Letter of Credit has no right under the Contracts (Rights of Third Parties) Act 1999 to enforce any term of this Letter of Credit.</w:t>
      </w:r>
    </w:p>
    <w:p w:rsidR="00000000" w:rsidDel="00000000" w:rsidP="00000000" w:rsidRDefault="00000000" w:rsidRPr="00000000" w14:paraId="000001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Governing Law</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Letter of Credit and any non-contractual obligations arising out of or in connection with it shall be governed by and construed in accordance with English law.  </w:t>
      </w:r>
    </w:p>
    <w:p w:rsidR="00000000" w:rsidDel="00000000" w:rsidP="00000000" w:rsidRDefault="00000000" w:rsidRPr="00000000" w14:paraId="000001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1"/>
          <w:i w:val="0"/>
          <w:smallCaps w:val="0"/>
          <w:strike w:val="0"/>
          <w:color w:val="000000"/>
          <w:sz w:val="24"/>
          <w:szCs w:val="24"/>
          <w:u w:val="single"/>
          <w:shd w:fill="auto" w:val="clear"/>
          <w:vertAlign w:val="baseline"/>
          <w:rtl w:val="0"/>
        </w:rPr>
        <w:t xml:space="preserve">Jurisdiction</w:t>
      </w:r>
    </w:p>
    <w:p w:rsidR="00000000" w:rsidDel="00000000" w:rsidP="00000000" w:rsidRDefault="00000000" w:rsidRPr="00000000" w14:paraId="0000012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courts of England have exclusive jurisdiction to settle any dispute arising out of or in connection with this Letter of Credit.</w:t>
      </w:r>
    </w:p>
    <w:p w:rsidR="00000000" w:rsidDel="00000000" w:rsidP="00000000" w:rsidRDefault="00000000" w:rsidRPr="00000000" w14:paraId="00000124">
      <w:pPr>
        <w:pStyle w:val="Heading1"/>
        <w:numPr>
          <w:ilvl w:val="1"/>
          <w:numId w:val="2"/>
        </w:numPr>
        <w:spacing w:after="260" w:before="0" w:lineRule="auto"/>
        <w:ind w:left="709" w:hanging="709"/>
        <w:rPr>
          <w:sz w:val="24"/>
          <w:szCs w:val="24"/>
        </w:rPr>
      </w:pPr>
      <w:r w:rsidDel="00000000" w:rsidR="00000000" w:rsidRPr="00000000">
        <w:rPr>
          <w:sz w:val="24"/>
          <w:szCs w:val="24"/>
          <w:rtl w:val="0"/>
        </w:rPr>
        <w:t xml:space="preserve">Counterparts</w:t>
      </w:r>
    </w:p>
    <w:p w:rsidR="00000000" w:rsidDel="00000000" w:rsidP="00000000" w:rsidRDefault="00000000" w:rsidRPr="00000000" w14:paraId="0000012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Credit may be executed in any number of counterparts, all of which taken together shall constitute one and the same instrument.</w:t>
      </w:r>
    </w:p>
    <w:p w:rsidR="00000000" w:rsidDel="00000000" w:rsidP="00000000" w:rsidRDefault="00000000" w:rsidRPr="00000000" w14:paraId="0000012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Yours faithfully,</w:t>
      </w:r>
    </w:p>
    <w:p w:rsidR="00000000" w:rsidDel="00000000" w:rsidP="00000000" w:rsidRDefault="00000000" w:rsidRPr="00000000" w14:paraId="0000012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Issuing Bank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2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w:t>
      </w:r>
    </w:p>
    <w:p w:rsidR="00000000" w:rsidDel="00000000" w:rsidP="00000000" w:rsidRDefault="00000000" w:rsidRPr="00000000" w14:paraId="0000012B">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 1</w:t>
      </w:r>
    </w:p>
    <w:p w:rsidR="00000000" w:rsidDel="00000000" w:rsidP="00000000" w:rsidRDefault="00000000" w:rsidRPr="00000000" w14:paraId="0000012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 OF DEMAND</w:t>
      </w:r>
    </w:p>
    <w:p w:rsidR="00000000" w:rsidDel="00000000" w:rsidP="00000000" w:rsidRDefault="00000000" w:rsidRPr="00000000" w14:paraId="0000012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t>
        <w:tab/>
        <w:t xml:space="preserve">[ISSUING BANK]</w:t>
      </w:r>
    </w:p>
    <w:p w:rsidR="00000000" w:rsidDel="00000000" w:rsidP="00000000" w:rsidRDefault="00000000" w:rsidRPr="00000000" w14:paraId="0000012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3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Dear Sirs</w:t>
      </w:r>
    </w:p>
    <w:p w:rsidR="00000000" w:rsidDel="00000000" w:rsidP="00000000" w:rsidRDefault="00000000" w:rsidRPr="00000000" w14:paraId="0000013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Standby Letter of Credit no.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issued in favour of [BENEFICIARY] (the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Letter of Credit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Letter of Credit.  Terms defined in the Letter of Credit have the same meaning when used in this Demand.</w:t>
      </w:r>
    </w:p>
    <w:p w:rsidR="00000000" w:rsidDel="00000000" w:rsidP="00000000" w:rsidRDefault="00000000" w:rsidRPr="00000000" w14:paraId="0000013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certify that the sum of [●] is due [and has remained unpaid for at least [●] Business Days] under the Call-Off Contract between the Beneficiary and the Supplier.  We therefore demand payment of the sum of [●].</w:t>
      </w:r>
    </w:p>
    <w:p w:rsidR="00000000" w:rsidDel="00000000" w:rsidP="00000000" w:rsidRDefault="00000000" w:rsidRPr="00000000" w14:paraId="000001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Payment should be made to the following account:</w:t>
      </w:r>
    </w:p>
    <w:p w:rsidR="00000000" w:rsidDel="00000000" w:rsidP="00000000" w:rsidRDefault="00000000" w:rsidRPr="00000000" w14:paraId="0000013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13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Account Number:</w:t>
      </w:r>
    </w:p>
    <w:p w:rsidR="00000000" w:rsidDel="00000000" w:rsidP="00000000" w:rsidRDefault="00000000" w:rsidRPr="00000000" w14:paraId="0000013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w:t>
      </w:r>
    </w:p>
    <w:p w:rsidR="00000000" w:rsidDel="00000000" w:rsidP="00000000" w:rsidRDefault="00000000" w:rsidRPr="00000000" w14:paraId="000001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Calibri" w:cs="Calibri" w:eastAsia="Calibri" w:hAnsi="Calibri"/>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date of this Demand is not later than the Expiry Date.</w:t>
      </w:r>
    </w:p>
    <w:p w:rsidR="00000000" w:rsidDel="00000000" w:rsidP="00000000" w:rsidRDefault="00000000" w:rsidRPr="00000000" w14:paraId="000001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Yours faithfully</w:t>
      </w:r>
    </w:p>
    <w:p w:rsidR="00000000" w:rsidDel="00000000" w:rsidP="00000000" w:rsidRDefault="00000000" w:rsidRPr="00000000" w14:paraId="0000013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(Authorised Signatory)</w:t>
        <w:tab/>
        <w:tab/>
        <w:tab/>
        <w:tab/>
        <w:tab/>
        <w:t xml:space="preserve">(Authorised Signatory)</w:t>
      </w:r>
    </w:p>
    <w:p w:rsidR="00000000" w:rsidDel="00000000" w:rsidP="00000000" w:rsidRDefault="00000000" w:rsidRPr="00000000" w14:paraId="0000013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0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w:t>
      </w:r>
    </w:p>
    <w:p w:rsidR="00000000" w:rsidDel="00000000" w:rsidP="00000000" w:rsidRDefault="00000000" w:rsidRPr="00000000" w14:paraId="0000013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60" w:before="0" w:line="240" w:lineRule="auto"/>
        <w:ind w:left="70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[BENEFICIARY]</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9">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14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D">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Drafting note:  To delete/complete as applicable</w:t>
      </w:r>
    </w:p>
  </w:footnote>
  <w:footnote w:id="1">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Drafting note:  To delete/complete as applicable</w:t>
      </w:r>
    </w:p>
  </w:footnote>
  <w:footnote w:id="2">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Drafting note:  To delete/complete as applicable</w:t>
      </w:r>
    </w:p>
  </w:footnote>
  <w:footnote w:id="3">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It may be necessary to include provisions regarding credit ratings governing the Guarantor.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sz w:val="24"/>
        <w:szCs w:val="24"/>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6">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1"/>
      <w:numFmt w:val="decimal"/>
      <w:lvlText w:val=""/>
      <w:lvlJc w:val="left"/>
      <w:pPr>
        <w:ind w:left="709" w:firstLine="0"/>
      </w:pPr>
      <w:rPr/>
    </w:lvl>
    <w:lvl w:ilvl="1">
      <w:start w:val="1"/>
      <w:numFmt w:val="upperLetter"/>
      <w:lvlText w:val="(%2)"/>
      <w:lvlJc w:val="left"/>
      <w:pPr>
        <w:ind w:left="1418" w:hanging="709"/>
      </w:pPr>
      <w:rPr/>
    </w:lvl>
    <w:lvl w:ilvl="2">
      <w:start w:val="1"/>
      <w:numFmt w:val="decimal"/>
      <w:lvlText w:val="(%3)"/>
      <w:lvlJc w:val="left"/>
      <w:pPr>
        <w:ind w:left="1985" w:hanging="567"/>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lowerRoman"/>
      <w:lvlText w:val="%9."/>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#109517349v4&lt;L_LIVE_EMEA1&gt; - PPA v3.0 (Joint Schedule 08 - Guarantee for PSC v3.3)</vt:lpwstr>
  </property>
</Properties>
</file>